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27C128">
      <w:pPr>
        <w:spacing w:before="96" w:line="218" w:lineRule="auto"/>
        <w:jc w:val="center"/>
        <w:outlineLvl w:val="0"/>
        <w:rPr>
          <w:rFonts w:ascii="宋体" w:hAnsi="宋体" w:eastAsia="宋体" w:cs="宋体"/>
          <w:b/>
          <w:bCs/>
          <w:spacing w:val="-9"/>
          <w:sz w:val="44"/>
          <w:szCs w:val="44"/>
        </w:rPr>
      </w:pPr>
    </w:p>
    <w:p w14:paraId="3C44F852">
      <w:pPr>
        <w:spacing w:before="96" w:line="218" w:lineRule="auto"/>
        <w:jc w:val="center"/>
        <w:outlineLvl w:val="0"/>
        <w:rPr>
          <w:rFonts w:hint="eastAsia" w:ascii="宋体" w:hAnsi="宋体" w:eastAsia="宋体" w:cs="宋体"/>
          <w:sz w:val="44"/>
          <w:szCs w:val="44"/>
          <w:lang w:eastAsia="zh-CN"/>
        </w:rPr>
      </w:pPr>
      <w:r>
        <w:rPr>
          <w:rFonts w:ascii="宋体" w:hAnsi="宋体" w:eastAsia="宋体" w:cs="宋体"/>
          <w:b/>
          <w:bCs/>
          <w:spacing w:val="-9"/>
          <w:sz w:val="44"/>
          <w:szCs w:val="44"/>
        </w:rPr>
        <w:t>民众乐园剧场</w:t>
      </w:r>
      <w:r>
        <w:rPr>
          <w:rFonts w:hint="eastAsia" w:ascii="宋体" w:hAnsi="宋体" w:eastAsia="宋体" w:cs="宋体"/>
          <w:b/>
          <w:bCs/>
          <w:spacing w:val="-9"/>
          <w:sz w:val="44"/>
          <w:szCs w:val="44"/>
          <w:lang w:val="en-US" w:eastAsia="zh-CN"/>
        </w:rPr>
        <w:t>公众责任险控制价</w:t>
      </w:r>
    </w:p>
    <w:p w14:paraId="5097D587">
      <w:pPr>
        <w:pStyle w:val="2"/>
        <w:spacing w:line="291" w:lineRule="auto"/>
      </w:pPr>
    </w:p>
    <w:p w14:paraId="3D94BAC3">
      <w:pPr>
        <w:pStyle w:val="2"/>
        <w:spacing w:line="292" w:lineRule="auto"/>
      </w:pPr>
    </w:p>
    <w:p w14:paraId="4AFB48E6">
      <w:pPr>
        <w:spacing w:before="97" w:line="218" w:lineRule="auto"/>
        <w:ind w:left="184"/>
        <w:outlineLvl w:val="1"/>
        <w:rPr>
          <w:rFonts w:hint="eastAsia" w:ascii="宋体" w:hAnsi="宋体" w:eastAsia="宋体" w:cs="宋体"/>
          <w:sz w:val="30"/>
          <w:szCs w:val="30"/>
          <w:lang w:val="en-US" w:eastAsia="zh-CN"/>
        </w:rPr>
      </w:pPr>
      <w:r>
        <w:rPr>
          <w:rFonts w:ascii="宋体" w:hAnsi="宋体" w:eastAsia="宋体" w:cs="宋体"/>
          <w:b/>
          <w:bCs/>
          <w:spacing w:val="-6"/>
          <w:sz w:val="30"/>
          <w:szCs w:val="30"/>
        </w:rPr>
        <w:t>一、</w:t>
      </w:r>
      <w:r>
        <w:rPr>
          <w:rFonts w:ascii="宋体" w:hAnsi="宋体" w:eastAsia="宋体" w:cs="宋体"/>
          <w:spacing w:val="-6"/>
          <w:sz w:val="30"/>
          <w:szCs w:val="30"/>
        </w:rPr>
        <w:t xml:space="preserve"> </w:t>
      </w:r>
      <w:r>
        <w:rPr>
          <w:rFonts w:ascii="宋体" w:hAnsi="宋体" w:eastAsia="宋体" w:cs="宋体"/>
          <w:b/>
          <w:bCs/>
          <w:spacing w:val="-6"/>
          <w:sz w:val="30"/>
          <w:szCs w:val="30"/>
        </w:rPr>
        <w:t>公众责任险</w:t>
      </w:r>
      <w:r>
        <w:rPr>
          <w:rFonts w:hint="eastAsia" w:ascii="宋体" w:hAnsi="宋体" w:eastAsia="宋体" w:cs="宋体"/>
          <w:b/>
          <w:bCs/>
          <w:spacing w:val="-6"/>
          <w:sz w:val="30"/>
          <w:szCs w:val="30"/>
          <w:lang w:val="en-US" w:eastAsia="zh-CN"/>
        </w:rPr>
        <w:t>控制价</w:t>
      </w:r>
    </w:p>
    <w:p w14:paraId="46D196D8">
      <w:pPr>
        <w:spacing w:line="184" w:lineRule="exact"/>
      </w:pPr>
    </w:p>
    <w:tbl>
      <w:tblPr>
        <w:tblStyle w:val="5"/>
        <w:tblW w:w="9350" w:type="dxa"/>
        <w:jc w:val="center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40"/>
        <w:gridCol w:w="6121"/>
        <w:gridCol w:w="1589"/>
      </w:tblGrid>
      <w:tr w14:paraId="11ADEE2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6" w:hRule="atLeast"/>
          <w:jc w:val="center"/>
        </w:trPr>
        <w:tc>
          <w:tcPr>
            <w:tcW w:w="1640" w:type="dxa"/>
            <w:vAlign w:val="top"/>
          </w:tcPr>
          <w:p w14:paraId="3341E886">
            <w:pPr>
              <w:pStyle w:val="6"/>
              <w:spacing w:before="294" w:line="221" w:lineRule="auto"/>
              <w:jc w:val="center"/>
            </w:pPr>
            <w:r>
              <w:rPr>
                <w:b/>
                <w:bCs/>
                <w:spacing w:val="-4"/>
              </w:rPr>
              <w:t>投保险种</w:t>
            </w:r>
          </w:p>
        </w:tc>
        <w:tc>
          <w:tcPr>
            <w:tcW w:w="6121" w:type="dxa"/>
            <w:vAlign w:val="top"/>
          </w:tcPr>
          <w:p w14:paraId="6DC92332">
            <w:pPr>
              <w:pStyle w:val="6"/>
              <w:spacing w:before="295" w:line="220" w:lineRule="auto"/>
              <w:jc w:val="center"/>
            </w:pPr>
            <w:r>
              <w:rPr>
                <w:b/>
                <w:bCs/>
                <w:spacing w:val="-4"/>
              </w:rPr>
              <w:t>保险金额</w:t>
            </w:r>
          </w:p>
        </w:tc>
        <w:tc>
          <w:tcPr>
            <w:tcW w:w="1589" w:type="dxa"/>
            <w:vAlign w:val="top"/>
          </w:tcPr>
          <w:p w14:paraId="67CC5DFC">
            <w:pPr>
              <w:pStyle w:val="6"/>
              <w:spacing w:before="295" w:line="220" w:lineRule="auto"/>
              <w:jc w:val="center"/>
            </w:pPr>
            <w:r>
              <w:rPr>
                <w:b/>
                <w:bCs/>
                <w:spacing w:val="-4"/>
              </w:rPr>
              <w:t>含税保费</w:t>
            </w:r>
          </w:p>
        </w:tc>
      </w:tr>
      <w:tr w14:paraId="1E5ECDF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6" w:hRule="atLeast"/>
          <w:jc w:val="center"/>
        </w:trPr>
        <w:tc>
          <w:tcPr>
            <w:tcW w:w="1640" w:type="dxa"/>
            <w:vAlign w:val="center"/>
          </w:tcPr>
          <w:p w14:paraId="5D5FA149">
            <w:pPr>
              <w:pStyle w:val="6"/>
              <w:spacing w:before="108" w:line="220" w:lineRule="auto"/>
              <w:ind w:left="124"/>
              <w:jc w:val="center"/>
              <w:rPr>
                <w:spacing w:val="-3"/>
                <w:sz w:val="24"/>
                <w:szCs w:val="24"/>
                <w:lang w:val="en-US" w:eastAsia="en-US"/>
              </w:rPr>
            </w:pPr>
            <w:r>
              <w:rPr>
                <w:spacing w:val="-3"/>
                <w:sz w:val="24"/>
                <w:szCs w:val="24"/>
                <w:lang w:val="en-US" w:eastAsia="en-US"/>
              </w:rPr>
              <w:t>公众责任险</w:t>
            </w:r>
          </w:p>
        </w:tc>
        <w:tc>
          <w:tcPr>
            <w:tcW w:w="6121" w:type="dxa"/>
            <w:vAlign w:val="center"/>
          </w:tcPr>
          <w:p w14:paraId="0960C544">
            <w:pPr>
              <w:pStyle w:val="6"/>
              <w:spacing w:before="108" w:line="220" w:lineRule="auto"/>
              <w:ind w:left="124"/>
              <w:rPr>
                <w:spacing w:val="-3"/>
                <w:sz w:val="24"/>
                <w:szCs w:val="24"/>
                <w:lang w:val="en-US" w:eastAsia="en-US"/>
              </w:rPr>
            </w:pPr>
            <w:r>
              <w:rPr>
                <w:spacing w:val="-3"/>
                <w:sz w:val="24"/>
                <w:szCs w:val="24"/>
                <w:lang w:val="en-US" w:eastAsia="en-US"/>
              </w:rPr>
              <w:t>每次及累计事故限额500万元每人每次事故限额100万元</w:t>
            </w:r>
          </w:p>
        </w:tc>
        <w:tc>
          <w:tcPr>
            <w:tcW w:w="1589" w:type="dxa"/>
            <w:vAlign w:val="center"/>
          </w:tcPr>
          <w:p w14:paraId="34ADAADB">
            <w:pPr>
              <w:pStyle w:val="6"/>
              <w:spacing w:before="108" w:line="220" w:lineRule="auto"/>
              <w:ind w:left="124"/>
              <w:jc w:val="center"/>
              <w:rPr>
                <w:rFonts w:hint="default"/>
                <w:spacing w:val="-3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pacing w:val="-3"/>
                <w:sz w:val="24"/>
                <w:szCs w:val="24"/>
                <w:lang w:val="en-US" w:eastAsia="zh-CN"/>
              </w:rPr>
              <w:t>6000</w:t>
            </w:r>
          </w:p>
        </w:tc>
      </w:tr>
    </w:tbl>
    <w:p w14:paraId="6F055E08">
      <w:pPr>
        <w:pStyle w:val="2"/>
        <w:spacing w:line="248" w:lineRule="auto"/>
      </w:pPr>
    </w:p>
    <w:p w14:paraId="59D0E8F1">
      <w:pPr>
        <w:pStyle w:val="2"/>
        <w:spacing w:line="248" w:lineRule="auto"/>
      </w:pPr>
    </w:p>
    <w:p w14:paraId="1EEE3C09">
      <w:pPr>
        <w:pStyle w:val="2"/>
        <w:spacing w:line="248" w:lineRule="auto"/>
      </w:pPr>
    </w:p>
    <w:p w14:paraId="720D4E64">
      <w:pPr>
        <w:pStyle w:val="2"/>
        <w:spacing w:line="249" w:lineRule="auto"/>
      </w:pPr>
    </w:p>
    <w:p w14:paraId="665900A1">
      <w:pPr>
        <w:pStyle w:val="2"/>
        <w:spacing w:line="249" w:lineRule="auto"/>
      </w:pPr>
    </w:p>
    <w:p w14:paraId="125DABA1">
      <w:pPr>
        <w:spacing w:before="97" w:line="220" w:lineRule="auto"/>
        <w:ind w:left="184"/>
        <w:outlineLvl w:val="1"/>
        <w:rPr>
          <w:rFonts w:ascii="宋体" w:hAnsi="宋体" w:eastAsia="宋体" w:cs="宋体"/>
          <w:sz w:val="30"/>
          <w:szCs w:val="30"/>
        </w:rPr>
      </w:pPr>
      <w:r>
        <w:rPr>
          <w:rFonts w:ascii="宋体" w:hAnsi="宋体" w:eastAsia="宋体" w:cs="宋体"/>
          <w:b/>
          <w:bCs/>
          <w:spacing w:val="-5"/>
          <w:sz w:val="30"/>
          <w:szCs w:val="30"/>
        </w:rPr>
        <w:t>二、</w:t>
      </w:r>
      <w:r>
        <w:rPr>
          <w:rFonts w:ascii="宋体" w:hAnsi="宋体" w:eastAsia="宋体" w:cs="宋体"/>
          <w:spacing w:val="-5"/>
          <w:sz w:val="30"/>
          <w:szCs w:val="30"/>
        </w:rPr>
        <w:t xml:space="preserve"> </w:t>
      </w:r>
      <w:r>
        <w:rPr>
          <w:rFonts w:ascii="宋体" w:hAnsi="宋体" w:eastAsia="宋体" w:cs="宋体"/>
          <w:b/>
          <w:bCs/>
          <w:spacing w:val="-5"/>
          <w:sz w:val="30"/>
          <w:szCs w:val="30"/>
        </w:rPr>
        <w:t>免赔、扩展条款及特别约定响应程度</w:t>
      </w:r>
    </w:p>
    <w:p w14:paraId="7F57E8DD">
      <w:pPr>
        <w:spacing w:line="181" w:lineRule="exact"/>
      </w:pPr>
    </w:p>
    <w:tbl>
      <w:tblPr>
        <w:tblStyle w:val="5"/>
        <w:tblW w:w="9810" w:type="dxa"/>
        <w:tblInd w:w="39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880"/>
        <w:gridCol w:w="4345"/>
        <w:gridCol w:w="3585"/>
      </w:tblGrid>
      <w:tr w14:paraId="1F331FD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0" w:hRule="atLeast"/>
        </w:trPr>
        <w:tc>
          <w:tcPr>
            <w:tcW w:w="1880" w:type="dxa"/>
            <w:vAlign w:val="center"/>
          </w:tcPr>
          <w:p w14:paraId="41A20D17">
            <w:pPr>
              <w:pStyle w:val="6"/>
              <w:spacing w:before="182" w:line="221" w:lineRule="auto"/>
              <w:jc w:val="center"/>
            </w:pPr>
            <w:r>
              <w:rPr>
                <w:b/>
                <w:bCs/>
                <w:spacing w:val="-4"/>
              </w:rPr>
              <w:t>投保险种</w:t>
            </w:r>
          </w:p>
        </w:tc>
        <w:tc>
          <w:tcPr>
            <w:tcW w:w="4345" w:type="dxa"/>
            <w:vAlign w:val="center"/>
          </w:tcPr>
          <w:p w14:paraId="0EA4B906">
            <w:pPr>
              <w:pStyle w:val="6"/>
              <w:spacing w:before="182" w:line="220" w:lineRule="auto"/>
              <w:jc w:val="center"/>
            </w:pPr>
            <w:r>
              <w:rPr>
                <w:b/>
                <w:bCs/>
                <w:spacing w:val="-3"/>
              </w:rPr>
              <w:t>每次事故免赔</w:t>
            </w:r>
          </w:p>
        </w:tc>
        <w:tc>
          <w:tcPr>
            <w:tcW w:w="3585" w:type="dxa"/>
            <w:vAlign w:val="center"/>
          </w:tcPr>
          <w:p w14:paraId="5373E9FB">
            <w:pPr>
              <w:pStyle w:val="6"/>
              <w:spacing w:before="182" w:line="220" w:lineRule="auto"/>
              <w:jc w:val="center"/>
            </w:pPr>
            <w:r>
              <w:rPr>
                <w:b/>
                <w:bCs/>
                <w:spacing w:val="-3"/>
              </w:rPr>
              <w:t>扩展条款和特别约定</w:t>
            </w:r>
          </w:p>
        </w:tc>
      </w:tr>
      <w:tr w14:paraId="5F480F8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5" w:hRule="atLeast"/>
        </w:trPr>
        <w:tc>
          <w:tcPr>
            <w:tcW w:w="1880" w:type="dxa"/>
            <w:vAlign w:val="center"/>
          </w:tcPr>
          <w:p w14:paraId="53518E4D">
            <w:pPr>
              <w:pStyle w:val="6"/>
              <w:spacing w:before="108" w:line="220" w:lineRule="auto"/>
              <w:ind w:left="124"/>
              <w:jc w:val="center"/>
              <w:rPr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公众责任险</w:t>
            </w:r>
          </w:p>
        </w:tc>
        <w:tc>
          <w:tcPr>
            <w:tcW w:w="4345" w:type="dxa"/>
            <w:vAlign w:val="center"/>
          </w:tcPr>
          <w:p w14:paraId="34F00830">
            <w:pPr>
              <w:pStyle w:val="6"/>
              <w:spacing w:before="108" w:line="232" w:lineRule="auto"/>
              <w:ind w:left="113"/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>
              <w:rPr>
                <w:rFonts w:hint="eastAsia" w:ascii="Arial" w:hAnsi="Arial" w:cs="Arial"/>
                <w:spacing w:val="-2"/>
                <w:sz w:val="24"/>
                <w:szCs w:val="24"/>
                <w:lang w:val="en-US" w:eastAsia="zh-CN"/>
              </w:rPr>
              <w:t>500</w:t>
            </w:r>
            <w:r>
              <w:rPr>
                <w:spacing w:val="-2"/>
                <w:sz w:val="24"/>
                <w:szCs w:val="24"/>
              </w:rPr>
              <w:t>元或损失金额的</w:t>
            </w:r>
            <w:r>
              <w:rPr>
                <w:spacing w:val="-28"/>
                <w:sz w:val="24"/>
                <w:szCs w:val="24"/>
              </w:rPr>
              <w:t xml:space="preserve"> </w:t>
            </w:r>
            <w:r>
              <w:rPr>
                <w:rFonts w:ascii="Arial" w:hAnsi="Arial" w:eastAsia="Arial" w:cs="Arial"/>
                <w:spacing w:val="-2"/>
                <w:sz w:val="24"/>
                <w:szCs w:val="24"/>
              </w:rPr>
              <w:t>10%</w:t>
            </w:r>
          </w:p>
        </w:tc>
        <w:tc>
          <w:tcPr>
            <w:tcW w:w="3585" w:type="dxa"/>
            <w:vAlign w:val="center"/>
          </w:tcPr>
          <w:p w14:paraId="7EAECF4F">
            <w:pPr>
              <w:pStyle w:val="6"/>
              <w:spacing w:before="109" w:line="233" w:lineRule="auto"/>
              <w:ind w:left="127"/>
              <w:jc w:val="center"/>
              <w:rPr>
                <w:rFonts w:hint="default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pacing w:val="-3"/>
                <w:sz w:val="24"/>
                <w:szCs w:val="24"/>
                <w:lang w:val="en-US" w:eastAsia="zh-CN"/>
              </w:rPr>
              <w:t>至少</w:t>
            </w:r>
            <w:r>
              <w:rPr>
                <w:spacing w:val="-3"/>
                <w:sz w:val="24"/>
                <w:szCs w:val="24"/>
              </w:rPr>
              <w:t>响应</w:t>
            </w:r>
            <w:r>
              <w:rPr>
                <w:rFonts w:hint="eastAsia"/>
                <w:spacing w:val="-3"/>
                <w:sz w:val="24"/>
                <w:szCs w:val="24"/>
                <w:lang w:val="en-US" w:eastAsia="zh-CN"/>
              </w:rPr>
              <w:t>索赔费用条款</w:t>
            </w:r>
          </w:p>
        </w:tc>
      </w:tr>
    </w:tbl>
    <w:p w14:paraId="29552D39">
      <w:pPr>
        <w:pStyle w:val="2"/>
        <w:spacing w:line="248" w:lineRule="auto"/>
      </w:pPr>
    </w:p>
    <w:p w14:paraId="244945D9">
      <w:pPr>
        <w:pStyle w:val="2"/>
        <w:spacing w:line="248" w:lineRule="auto"/>
      </w:pPr>
    </w:p>
    <w:p w14:paraId="36B6288D">
      <w:pPr>
        <w:pStyle w:val="2"/>
        <w:spacing w:line="248" w:lineRule="auto"/>
      </w:pPr>
      <w:bookmarkStart w:id="0" w:name="_GoBack"/>
      <w:bookmarkEnd w:id="0"/>
    </w:p>
    <w:p w14:paraId="66AA10D2">
      <w:pPr>
        <w:pStyle w:val="2"/>
        <w:spacing w:line="248" w:lineRule="auto"/>
      </w:pPr>
    </w:p>
    <w:p w14:paraId="3A91D03C">
      <w:pPr>
        <w:pStyle w:val="2"/>
        <w:spacing w:line="249" w:lineRule="auto"/>
      </w:pPr>
    </w:p>
    <w:p w14:paraId="13E98F3A">
      <w:pPr>
        <w:pStyle w:val="2"/>
        <w:spacing w:line="249" w:lineRule="auto"/>
      </w:pPr>
    </w:p>
    <w:sectPr>
      <w:footerReference r:id="rId5" w:type="default"/>
      <w:pgSz w:w="11907" w:h="16839"/>
      <w:pgMar w:top="1416" w:right="1020" w:bottom="613" w:left="1020" w:header="0" w:footer="385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5E242DE">
    <w:pPr>
      <w:pStyle w:val="2"/>
      <w:spacing w:line="238" w:lineRule="auto"/>
      <w:ind w:left="9702"/>
      <w:rPr>
        <w:sz w:val="19"/>
        <w:szCs w:val="19"/>
      </w:rPr>
    </w:pPr>
    <w:r>
      <w:rPr>
        <w:sz w:val="19"/>
        <w:szCs w:val="19"/>
      </w:rPr>
      <w:t>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6F6B758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宋体" w:hAnsi="宋体" w:eastAsia="宋体" w:cs="宋体"/>
      <w:sz w:val="22"/>
      <w:szCs w:val="22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216</Words>
  <Characters>265</Characters>
  <TotalTime>21</TotalTime>
  <ScaleCrop>false</ScaleCrop>
  <LinksUpToDate>false</LinksUpToDate>
  <CharactersWithSpaces>279</CharactersWithSpaces>
  <Application>WPS Office_12.1.0.25225_F1E327BC-269C-435d-A152-05C5408002CA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2026-10-10T16:32:00Z</dcterms:created>
  <dc:creator>wanghui</dc:creator>
  <cp:lastModifiedBy>夏冰</cp:lastModifiedBy>
  <dcterms:modified xsi:type="dcterms:W3CDTF">2026-10-10T09:52:23Z</dcterms:modified>
  <dc:title>报价方案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2026-10-10T17:31:01Z</vt:filetime>
  </property>
  <property fmtid="{D5CDD505-2E9C-101B-9397-08002B2CF9AE}" pid="4" name="KSOTemplateDocerSaveRecord">
    <vt:lpwstr>eyJoZGlkIjoiODViY2JkMjU3NGYzZTEwMzZmMGFkZWViYmNkYWU3NDIiLCJ1c2VySWQiOiIxNDc3MTg1NTkyIn0=</vt:lpwstr>
  </property>
  <property fmtid="{D5CDD505-2E9C-101B-9397-08002B2CF9AE}" pid="5" name="KSOProductBuildVer">
    <vt:lpwstr>2052-12.1.0.25225</vt:lpwstr>
  </property>
  <property fmtid="{D5CDD505-2E9C-101B-9397-08002B2CF9AE}" pid="6" name="ICV">
    <vt:lpwstr>762AA306EDBB48A5A0201694A45C164C_12</vt:lpwstr>
  </property>
</Properties>
</file>