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7C128">
      <w:pPr>
        <w:spacing w:before="96" w:line="218" w:lineRule="auto"/>
        <w:jc w:val="center"/>
        <w:outlineLvl w:val="0"/>
        <w:rPr>
          <w:rFonts w:ascii="宋体" w:hAnsi="宋体" w:eastAsia="宋体" w:cs="宋体"/>
          <w:b/>
          <w:bCs/>
          <w:spacing w:val="-9"/>
          <w:sz w:val="44"/>
          <w:szCs w:val="44"/>
        </w:rPr>
      </w:pPr>
    </w:p>
    <w:p w14:paraId="3D94BAC3">
      <w:pPr>
        <w:spacing w:before="96" w:line="218" w:lineRule="auto"/>
        <w:jc w:val="center"/>
        <w:outlineLvl w:val="0"/>
        <w:rPr>
          <w:rFonts w:hint="eastAsia" w:ascii="宋体" w:hAnsi="宋体" w:eastAsia="宋体" w:cs="宋体"/>
          <w:b/>
          <w:bCs/>
          <w:spacing w:val="-9"/>
          <w:sz w:val="44"/>
          <w:szCs w:val="44"/>
          <w:lang w:val="en-US" w:eastAsia="zh-CN"/>
        </w:rPr>
      </w:pPr>
      <w:r>
        <w:rPr>
          <w:rFonts w:ascii="宋体" w:hAnsi="宋体" w:eastAsia="宋体" w:cs="宋体"/>
          <w:b/>
          <w:bCs/>
          <w:spacing w:val="-9"/>
          <w:sz w:val="44"/>
          <w:szCs w:val="44"/>
        </w:rPr>
        <w:t>民众乐园剧场</w:t>
      </w:r>
      <w:r>
        <w:rPr>
          <w:rFonts w:hint="eastAsia" w:ascii="宋体" w:hAnsi="宋体" w:eastAsia="宋体" w:cs="宋体"/>
          <w:b/>
          <w:bCs/>
          <w:spacing w:val="-9"/>
          <w:sz w:val="44"/>
          <w:szCs w:val="44"/>
          <w:lang w:val="en-US" w:eastAsia="zh-CN"/>
        </w:rPr>
        <w:t>演出物料采购控制价</w:t>
      </w:r>
    </w:p>
    <w:p w14:paraId="65D10531">
      <w:pPr>
        <w:spacing w:before="96" w:line="218" w:lineRule="auto"/>
        <w:jc w:val="center"/>
        <w:outlineLvl w:val="0"/>
        <w:rPr>
          <w:rFonts w:hint="eastAsia" w:ascii="宋体" w:hAnsi="宋体" w:eastAsia="宋体" w:cs="宋体"/>
          <w:b/>
          <w:bCs/>
          <w:spacing w:val="-9"/>
          <w:sz w:val="44"/>
          <w:szCs w:val="44"/>
          <w:lang w:val="en-US" w:eastAsia="zh-CN"/>
        </w:rPr>
      </w:pPr>
    </w:p>
    <w:p w14:paraId="67A22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468" w:firstLineChars="200"/>
        <w:textAlignment w:val="baseline"/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  <w:t>按照前期戏剧规划，已在民众乐园引进戏剧公社旗下话剧《项链》、草台嘻班旗下沉浸式互动喜剧《连载不要停》、繁星戏剧村旗下悬疑话剧《朱莉小姐》。</w:t>
      </w:r>
    </w:p>
    <w:p w14:paraId="5BD92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468" w:firstLineChars="200"/>
        <w:textAlignment w:val="baseline"/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  <w:t>现项目已进入最终排练和试演出阶段，结合剧目演出实际需要，需采购配套演出营运物料，主要包含剧目道具布景、演员服装配饰、舞美耗材、现场导视及观众营运物资、剧场通用安全及库房耗材等。因演出持续周期和场次需根据市场反响灵活调整，物料采购、领用将随排演及演出进度按需实施。为保障剧</w:t>
      </w:r>
      <w:bookmarkStart w:id="0" w:name="_GoBack"/>
      <w:bookmarkEnd w:id="0"/>
      <w:r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  <w:t>目常态化演出有序开展，拟开展上述三部剧目演出物料采购工作。</w:t>
      </w:r>
    </w:p>
    <w:p w14:paraId="1EB6DE9E">
      <w:pPr>
        <w:spacing w:before="97" w:line="218" w:lineRule="auto"/>
        <w:ind w:left="184"/>
        <w:outlineLvl w:val="1"/>
        <w:rPr>
          <w:rFonts w:hint="eastAsia" w:ascii="宋体" w:hAnsi="宋体" w:eastAsia="宋体" w:cs="宋体"/>
          <w:sz w:val="30"/>
          <w:szCs w:val="30"/>
          <w:lang w:val="en-US" w:eastAsia="zh-CN"/>
        </w:rPr>
      </w:pPr>
    </w:p>
    <w:p w14:paraId="46D196D8">
      <w:pPr>
        <w:spacing w:line="184" w:lineRule="exact"/>
      </w:pPr>
    </w:p>
    <w:tbl>
      <w:tblPr>
        <w:tblStyle w:val="5"/>
        <w:tblW w:w="7761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54"/>
        <w:gridCol w:w="2407"/>
      </w:tblGrid>
      <w:tr w14:paraId="11ADEE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  <w:jc w:val="center"/>
        </w:trPr>
        <w:tc>
          <w:tcPr>
            <w:tcW w:w="5354" w:type="dxa"/>
            <w:vAlign w:val="top"/>
          </w:tcPr>
          <w:p w14:paraId="3341E886">
            <w:pPr>
              <w:pStyle w:val="6"/>
              <w:spacing w:before="294" w:line="221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/>
                <w:bCs/>
                <w:spacing w:val="-4"/>
                <w:lang w:val="en-US" w:eastAsia="zh-CN"/>
              </w:rPr>
              <w:t>采购项目</w:t>
            </w:r>
          </w:p>
        </w:tc>
        <w:tc>
          <w:tcPr>
            <w:tcW w:w="2407" w:type="dxa"/>
            <w:vAlign w:val="top"/>
          </w:tcPr>
          <w:p w14:paraId="6DC92332">
            <w:pPr>
              <w:pStyle w:val="6"/>
              <w:spacing w:before="295" w:line="22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/>
                <w:bCs/>
                <w:spacing w:val="-4"/>
                <w:lang w:val="en-US" w:eastAsia="zh-CN"/>
              </w:rPr>
              <w:t>服务费比例</w:t>
            </w:r>
          </w:p>
        </w:tc>
      </w:tr>
      <w:tr w14:paraId="1E5ECD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  <w:jc w:val="center"/>
        </w:trPr>
        <w:tc>
          <w:tcPr>
            <w:tcW w:w="5354" w:type="dxa"/>
            <w:vAlign w:val="center"/>
          </w:tcPr>
          <w:p w14:paraId="5D5FA149">
            <w:pPr>
              <w:pStyle w:val="6"/>
              <w:spacing w:before="108" w:line="220" w:lineRule="auto"/>
              <w:ind w:left="124"/>
              <w:jc w:val="center"/>
              <w:rPr>
                <w:rFonts w:hint="default" w:eastAsia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民众乐园剧场演出物料采购</w:t>
            </w:r>
          </w:p>
        </w:tc>
        <w:tc>
          <w:tcPr>
            <w:tcW w:w="2407" w:type="dxa"/>
            <w:vAlign w:val="center"/>
          </w:tcPr>
          <w:p w14:paraId="0960C544">
            <w:pPr>
              <w:pStyle w:val="6"/>
              <w:spacing w:before="108" w:line="220" w:lineRule="auto"/>
              <w:ind w:left="124"/>
              <w:jc w:val="center"/>
              <w:rPr>
                <w:rFonts w:hint="default" w:eastAsia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10%</w:t>
            </w:r>
          </w:p>
        </w:tc>
      </w:tr>
      <w:tr w14:paraId="1A112B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  <w:jc w:val="center"/>
        </w:trPr>
        <w:tc>
          <w:tcPr>
            <w:tcW w:w="5354" w:type="dxa"/>
            <w:vAlign w:val="center"/>
          </w:tcPr>
          <w:p w14:paraId="38116C90">
            <w:pPr>
              <w:pStyle w:val="6"/>
              <w:spacing w:before="108" w:line="220" w:lineRule="auto"/>
              <w:ind w:left="124"/>
              <w:jc w:val="center"/>
              <w:rPr>
                <w:rFonts w:hint="default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付款方式</w:t>
            </w:r>
          </w:p>
        </w:tc>
        <w:tc>
          <w:tcPr>
            <w:tcW w:w="2407" w:type="dxa"/>
            <w:vAlign w:val="center"/>
          </w:tcPr>
          <w:p w14:paraId="4CF8E9D8">
            <w:pPr>
              <w:pStyle w:val="6"/>
              <w:spacing w:before="108" w:line="220" w:lineRule="auto"/>
              <w:ind w:left="124"/>
              <w:jc w:val="center"/>
              <w:rPr>
                <w:rFonts w:hint="default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按月据实结算</w:t>
            </w:r>
          </w:p>
        </w:tc>
      </w:tr>
    </w:tbl>
    <w:p w14:paraId="1BF82BBB">
      <w:pPr>
        <w:pStyle w:val="2"/>
        <w:spacing w:line="248" w:lineRule="auto"/>
      </w:pPr>
    </w:p>
    <w:p w14:paraId="59D0E8F1">
      <w:pPr>
        <w:pStyle w:val="2"/>
        <w:spacing w:line="248" w:lineRule="auto"/>
        <w:ind w:firstLine="630" w:firstLineChars="300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注：乙方提供增值税专用发票，报价应为含税总价</w:t>
      </w:r>
    </w:p>
    <w:p w14:paraId="1EEE3C09">
      <w:pPr>
        <w:pStyle w:val="2"/>
        <w:spacing w:line="248" w:lineRule="auto"/>
      </w:pPr>
    </w:p>
    <w:p w14:paraId="5E7352DF">
      <w:pPr>
        <w:pStyle w:val="2"/>
        <w:spacing w:line="248" w:lineRule="auto"/>
        <w:ind w:firstLine="720" w:firstLineChars="300"/>
        <w:jc w:val="right"/>
        <w:rPr>
          <w:rFonts w:hint="eastAsia" w:eastAsia="宋体"/>
          <w:sz w:val="24"/>
          <w:szCs w:val="24"/>
          <w:lang w:val="en-US" w:eastAsia="zh-CN"/>
        </w:rPr>
      </w:pPr>
    </w:p>
    <w:p w14:paraId="665900A1">
      <w:pPr>
        <w:pStyle w:val="2"/>
        <w:spacing w:line="249" w:lineRule="auto"/>
      </w:pPr>
    </w:p>
    <w:p w14:paraId="29552D39">
      <w:pPr>
        <w:pStyle w:val="2"/>
        <w:spacing w:line="248" w:lineRule="auto"/>
        <w:rPr>
          <w:rFonts w:hint="default" w:eastAsia="宋体"/>
          <w:lang w:val="en-US" w:eastAsia="zh-CN"/>
        </w:rPr>
      </w:pPr>
    </w:p>
    <w:p w14:paraId="244945D9">
      <w:pPr>
        <w:pStyle w:val="2"/>
        <w:spacing w:line="248" w:lineRule="auto"/>
      </w:pPr>
    </w:p>
    <w:p w14:paraId="36B6288D">
      <w:pPr>
        <w:pStyle w:val="2"/>
        <w:spacing w:line="248" w:lineRule="auto"/>
      </w:pPr>
    </w:p>
    <w:p w14:paraId="66AA10D2">
      <w:pPr>
        <w:pStyle w:val="2"/>
        <w:spacing w:line="248" w:lineRule="auto"/>
      </w:pPr>
    </w:p>
    <w:p w14:paraId="3A91D03C">
      <w:pPr>
        <w:pStyle w:val="2"/>
        <w:spacing w:line="249" w:lineRule="auto"/>
      </w:pPr>
    </w:p>
    <w:p w14:paraId="13E98F3A">
      <w:pPr>
        <w:pStyle w:val="2"/>
        <w:spacing w:line="249" w:lineRule="auto"/>
      </w:pPr>
    </w:p>
    <w:sectPr>
      <w:footerReference r:id="rId5" w:type="default"/>
      <w:pgSz w:w="11907" w:h="16839"/>
      <w:pgMar w:top="1416" w:right="1417" w:bottom="613" w:left="1417" w:header="0" w:footer="38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242DE">
    <w:pPr>
      <w:pStyle w:val="2"/>
      <w:spacing w:line="238" w:lineRule="auto"/>
      <w:ind w:left="9702"/>
      <w:rPr>
        <w:sz w:val="19"/>
        <w:szCs w:val="19"/>
      </w:rPr>
    </w:pPr>
    <w:r>
      <w:rPr>
        <w:sz w:val="19"/>
        <w:szCs w:val="19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6FE0E78"/>
    <w:rsid w:val="439E0219"/>
    <w:rsid w:val="48B337D7"/>
    <w:rsid w:val="4E7C6129"/>
    <w:rsid w:val="6F6B75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80</Words>
  <Characters>81</Characters>
  <TotalTime>0</TotalTime>
  <ScaleCrop>false</ScaleCrop>
  <LinksUpToDate>false</LinksUpToDate>
  <CharactersWithSpaces>81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2026-10-10T16:32:00Z</dcterms:created>
  <dc:creator>wanghui</dc:creator>
  <cp:lastModifiedBy>夏冰</cp:lastModifiedBy>
  <cp:lastPrinted>2026-10-12T03:00:00Z</cp:lastPrinted>
  <dcterms:modified xsi:type="dcterms:W3CDTF">2026-10-12T04:12:08Z</dcterms:modified>
  <dc:title>报价方案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2026-10-10T17:31:01Z</vt:filetime>
  </property>
  <property fmtid="{D5CDD505-2E9C-101B-9397-08002B2CF9AE}" pid="4" name="KSOTemplateDocerSaveRecord">
    <vt:lpwstr>eyJoZGlkIjoiODViY2JkMjU3NGYzZTEwMzZmMGFkZWViYmNkYWU3NDIiLCJ1c2VySWQiOiIxNDc3MTg1NTkyIn0=</vt:lpwstr>
  </property>
  <property fmtid="{D5CDD505-2E9C-101B-9397-08002B2CF9AE}" pid="5" name="KSOProductBuildVer">
    <vt:lpwstr>2052-12.1.0.25225</vt:lpwstr>
  </property>
  <property fmtid="{D5CDD505-2E9C-101B-9397-08002B2CF9AE}" pid="6" name="ICV">
    <vt:lpwstr>0739C8A9E7EC4B6E9D14DEB14C7FF5D1_13</vt:lpwstr>
  </property>
</Properties>
</file>